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1EE8A682" w14:textId="6D80C69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4A74B3" w:rsidRPr="004A74B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Automatyzacja i optymalizacja procesu egzekucji administracyjnej w KAS - System JSP Egzekucja Plus w ramach Jednolitego Systemu Podatkowego (JSP Egzekucja Plus)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shd w:val="clear" w:color="auto" w:fill="auto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39CB5777" w14:textId="77777777" w:rsidTr="00A06425">
        <w:tc>
          <w:tcPr>
            <w:tcW w:w="562" w:type="dxa"/>
            <w:shd w:val="clear" w:color="auto" w:fill="auto"/>
          </w:tcPr>
          <w:p w14:paraId="1ED3D37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F638612" w14:textId="21108839" w:rsidR="00A06425" w:rsidRPr="00A06425" w:rsidRDefault="00B11FFB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81B2938" w14:textId="5D31102B" w:rsidR="00A06425" w:rsidRPr="00A06425" w:rsidRDefault="00B11FFB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2.1 </w:t>
            </w:r>
            <w:r w:rsidRPr="00B11FFB">
              <w:rPr>
                <w:rFonts w:asciiTheme="minorHAnsi" w:hAnsiTheme="minorHAnsi" w:cstheme="minorHAnsi"/>
                <w:sz w:val="22"/>
                <w:szCs w:val="22"/>
              </w:rPr>
              <w:t>Cele i korzyści wynikające z realizacji przedsięwzięcia</w:t>
            </w:r>
          </w:p>
        </w:tc>
        <w:tc>
          <w:tcPr>
            <w:tcW w:w="4678" w:type="dxa"/>
            <w:shd w:val="clear" w:color="auto" w:fill="auto"/>
          </w:tcPr>
          <w:p w14:paraId="22CF2B42" w14:textId="77777777" w:rsidR="00B11FFB" w:rsidRPr="00B11FFB" w:rsidRDefault="00B11FFB" w:rsidP="00B11FFB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2"/>
                <w:szCs w:val="22"/>
              </w:rPr>
            </w:pPr>
            <w:r w:rsidRPr="00B11FFB">
              <w:rPr>
                <w:rFonts w:asciiTheme="minorHAnsi" w:eastAsia="CIDFont+F1" w:hAnsiTheme="minorHAnsi" w:cstheme="minorHAnsi"/>
                <w:sz w:val="22"/>
                <w:szCs w:val="22"/>
              </w:rPr>
              <w:t xml:space="preserve">Wskazana w KPI4 oraz e-usługa nr 2 w pkt 2 odnosi się do udostępnienie elektronicznej komunikacji dla zobowiązanych dłużników. Może budzić wątpliwości, czy usługa ta umożliwia pełne załatwienie sprawy. </w:t>
            </w:r>
          </w:p>
          <w:p w14:paraId="75092A86" w14:textId="77777777" w:rsidR="00A06425" w:rsidRPr="00B11FFB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7BB14712" w14:textId="45B99AA7" w:rsidR="00A06425" w:rsidRPr="00A06425" w:rsidRDefault="00B11FFB" w:rsidP="00B11F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1359" w:type="dxa"/>
          </w:tcPr>
          <w:p w14:paraId="5B00690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1FFB" w:rsidRPr="00A06425" w14:paraId="536815A3" w14:textId="77777777" w:rsidTr="00A06425">
        <w:tc>
          <w:tcPr>
            <w:tcW w:w="562" w:type="dxa"/>
            <w:shd w:val="clear" w:color="auto" w:fill="auto"/>
          </w:tcPr>
          <w:p w14:paraId="48E7431A" w14:textId="77777777" w:rsidR="00B11FFB" w:rsidRPr="00A06425" w:rsidRDefault="00B11FFB" w:rsidP="00B11FF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06123C" w14:textId="229EC804" w:rsidR="00B11FFB" w:rsidRPr="00A06425" w:rsidRDefault="00B11FFB" w:rsidP="00B11FFB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2F6872C" w14:textId="406C0F4E" w:rsidR="00B11FFB" w:rsidRPr="00A06425" w:rsidRDefault="00B11FFB" w:rsidP="00B11F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2.1 </w:t>
            </w:r>
            <w:r w:rsidRPr="00B11FFB">
              <w:rPr>
                <w:rFonts w:asciiTheme="minorHAnsi" w:hAnsiTheme="minorHAnsi" w:cstheme="minorHAnsi"/>
                <w:sz w:val="22"/>
                <w:szCs w:val="22"/>
              </w:rPr>
              <w:t>Cele i korzyści wynikające z realizacji przedsięwzięcia</w:t>
            </w:r>
          </w:p>
        </w:tc>
        <w:tc>
          <w:tcPr>
            <w:tcW w:w="4678" w:type="dxa"/>
            <w:shd w:val="clear" w:color="auto" w:fill="auto"/>
          </w:tcPr>
          <w:p w14:paraId="594A6984" w14:textId="77777777" w:rsidR="00B11FFB" w:rsidRPr="00B11FFB" w:rsidRDefault="00B11FFB" w:rsidP="00B11FFB">
            <w:pPr>
              <w:tabs>
                <w:tab w:val="left" w:pos="127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B11FFB">
              <w:rPr>
                <w:rFonts w:asciiTheme="minorHAnsi" w:eastAsia="CIDFont+F1" w:hAnsiTheme="minorHAnsi" w:cstheme="minorHAnsi"/>
                <w:sz w:val="22"/>
                <w:szCs w:val="22"/>
              </w:rPr>
              <w:t>W przypadku wyjaśnienia wyżej wskazanej uwagi, związku ze wskazaniem informacji w pkt 2, że usługa 2 jest kierowana również do przedsiębiorców tj. A2B powinien być wskazany do monitorowania wskaźnik WLWK-RCO013 - Wartość usług, produktów i procesów cyfrowych opracowanych dla przedsiębiorstw.</w:t>
            </w:r>
          </w:p>
          <w:p w14:paraId="26AC9B19" w14:textId="77777777" w:rsidR="00B11FFB" w:rsidRPr="00B11FFB" w:rsidRDefault="00B11FFB" w:rsidP="00B11F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46C6C814" w14:textId="74DEA72B" w:rsidR="00B11FFB" w:rsidRPr="00A06425" w:rsidRDefault="00B11FFB" w:rsidP="00B11F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1359" w:type="dxa"/>
          </w:tcPr>
          <w:p w14:paraId="52F6715E" w14:textId="77777777" w:rsidR="00B11FFB" w:rsidRPr="00A06425" w:rsidRDefault="00B11FFB" w:rsidP="00B11F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1FFB" w:rsidRPr="00A06425" w14:paraId="01A0394C" w14:textId="77777777" w:rsidTr="00A06425">
        <w:tc>
          <w:tcPr>
            <w:tcW w:w="562" w:type="dxa"/>
            <w:shd w:val="clear" w:color="auto" w:fill="auto"/>
          </w:tcPr>
          <w:p w14:paraId="5B12FD08" w14:textId="77777777" w:rsidR="00B11FFB" w:rsidRPr="00A06425" w:rsidRDefault="00B11FFB" w:rsidP="00B11FF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2820E8D" w14:textId="0FB42237" w:rsidR="00B11FFB" w:rsidRPr="00A06425" w:rsidRDefault="00B11FFB" w:rsidP="00B11FFB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274E740" w14:textId="0C9143F8" w:rsidR="00B11FFB" w:rsidRPr="00A06425" w:rsidRDefault="00B11FFB" w:rsidP="00B11F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2.1 </w:t>
            </w:r>
            <w:r w:rsidRPr="00B11FFB">
              <w:rPr>
                <w:rFonts w:asciiTheme="minorHAnsi" w:hAnsiTheme="minorHAnsi" w:cstheme="minorHAnsi"/>
                <w:sz w:val="22"/>
                <w:szCs w:val="22"/>
              </w:rPr>
              <w:t>Cele i korzyści wynikające z realizacji przedsięwzięcia</w:t>
            </w:r>
          </w:p>
        </w:tc>
        <w:tc>
          <w:tcPr>
            <w:tcW w:w="4678" w:type="dxa"/>
            <w:shd w:val="clear" w:color="auto" w:fill="auto"/>
          </w:tcPr>
          <w:p w14:paraId="69D86CA6" w14:textId="05F79244" w:rsidR="00B11FFB" w:rsidRPr="00A06425" w:rsidRDefault="00B11FFB" w:rsidP="00B11F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Mając na uwadze powyższe uwagi i ich weryfikację, należy zwrócić uwagę, że KPI13 może się odnosić również do innych użytkowników niż pracownicy administracji tj. wskazani zobowiązani dłużnicy, użytkownicy KPI4.</w:t>
            </w:r>
          </w:p>
        </w:tc>
        <w:tc>
          <w:tcPr>
            <w:tcW w:w="5812" w:type="dxa"/>
            <w:shd w:val="clear" w:color="auto" w:fill="auto"/>
          </w:tcPr>
          <w:p w14:paraId="2ECD0A73" w14:textId="3EE08FEE" w:rsidR="00B11FFB" w:rsidRPr="00A06425" w:rsidRDefault="00B11FFB" w:rsidP="00B11F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1359" w:type="dxa"/>
          </w:tcPr>
          <w:p w14:paraId="0B16B812" w14:textId="77777777" w:rsidR="00B11FFB" w:rsidRPr="00A06425" w:rsidRDefault="00B11FFB" w:rsidP="00B11F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2715B2"/>
    <w:rsid w:val="003124D1"/>
    <w:rsid w:val="003B4105"/>
    <w:rsid w:val="004A74B3"/>
    <w:rsid w:val="004D086F"/>
    <w:rsid w:val="005B35EA"/>
    <w:rsid w:val="005F6527"/>
    <w:rsid w:val="006705EC"/>
    <w:rsid w:val="00671A64"/>
    <w:rsid w:val="006E16E9"/>
    <w:rsid w:val="00807385"/>
    <w:rsid w:val="00836322"/>
    <w:rsid w:val="008368BB"/>
    <w:rsid w:val="00853A10"/>
    <w:rsid w:val="00944932"/>
    <w:rsid w:val="009E5FDB"/>
    <w:rsid w:val="009F17E3"/>
    <w:rsid w:val="00A06425"/>
    <w:rsid w:val="00AC7796"/>
    <w:rsid w:val="00B11FFB"/>
    <w:rsid w:val="00B871B6"/>
    <w:rsid w:val="00C64B1B"/>
    <w:rsid w:val="00CC4846"/>
    <w:rsid w:val="00CD5EB0"/>
    <w:rsid w:val="00E14C33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Turowiecki Ignacy</cp:lastModifiedBy>
  <cp:revision>7</cp:revision>
  <dcterms:created xsi:type="dcterms:W3CDTF">2022-10-24T14:58:00Z</dcterms:created>
  <dcterms:modified xsi:type="dcterms:W3CDTF">2026-07-13T13:49:00Z</dcterms:modified>
</cp:coreProperties>
</file>